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C0" w:rsidRPr="008706C0" w:rsidRDefault="008706C0" w:rsidP="0087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FAQ: Carta del docente/bonus </w:t>
      </w:r>
      <w:proofErr w:type="gramStart"/>
      <w:r w:rsidRPr="008706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a.s</w:t>
      </w:r>
      <w:proofErr w:type="gramEnd"/>
      <w:r w:rsidRPr="008706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.2015-2016</w:t>
      </w:r>
      <w:r w:rsidRPr="008706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  <w:t>a cura</w:t>
      </w:r>
      <w:r w:rsidRPr="008706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  <w:t>della Direzione generale per il personale scolastico</w:t>
      </w:r>
    </w:p>
    <w:p w:rsidR="008706C0" w:rsidRPr="008706C0" w:rsidRDefault="008706C0" w:rsidP="00870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Come si può utilizzare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Carta del Docente consente "l'acquisto di libri e di testi, anche in formato digitale, di pubblicazioni e di riviste comunque utili all'aggiornamento professionale" </w:t>
      </w:r>
      <w:proofErr w:type="gram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proofErr w:type="gram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legge 107/2015, art. 1, comma 121</w:t>
      </w:r>
      <w:proofErr w:type="gram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).</w:t>
      </w:r>
      <w:proofErr w:type="gram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Questi acquisti devono essere attinenti alle discipline insegnate dal docente (ad esempio: un docente di matematica può utilizzare il bonus per l'acquisto di un romanzo)</w:t>
      </w:r>
      <w:proofErr w:type="gram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?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L'acquisto di libri, pubblicazioni e riviste, anche in formato digitale, non deve essere necessariamente attinente alla disciplina insegnata, così come previsto dalla legge 107/2015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1, comma 7), che riconosce fondamentale la formazione professionale del docente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nel quadro degli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obiettivi formativi, che riguardano competenze disciplinari e trasversali, scelte educative e metodologie laboratoriali, non riconducibili a una sola e specifica professionalità. 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Carta del Docente consente "l'acquisto di hardware": vi rientrano anche </w:t>
      </w:r>
      <w:proofErr w:type="spell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smartphone</w:t>
      </w:r>
      <w:proofErr w:type="spell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proofErr w:type="spell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tablet</w:t>
      </w:r>
      <w:proofErr w:type="spell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stampanti, toner, cartucce e pennette USB?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Carta del Docente permette "di sostenere la formazione continua dei docenti e di valorizzarne le competenze professionali"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1, comma 121, legge 107/2015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conseguenza, personal computer, computer portatili o notebook, computer palmari,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e-book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reader</w:t>
      </w:r>
      <w:proofErr w:type="spell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tablet</w:t>
      </w:r>
      <w:proofErr w:type="spell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rientrano nella categoria degli strumenti informatici che sostengono la formazione continua dei docenti. Altri dispositivi elettronici che hanno come principale finalità le comunicazioni elettroniche, come ad esempio gli </w:t>
      </w:r>
      <w:proofErr w:type="spell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smartphone</w:t>
      </w:r>
      <w:proofErr w:type="spell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non sono da considerarsi prevalentemente funzionali ai fini promossi dalla Carta del Docente, come non vi rientrano le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componenti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parziali dei dispositivi elettronici, come toner cartucce, stampanti, pennette USB, videocamere, fotocamere e videoproiettori.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Quali sono i software acquistabili con il Carta del Docente?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Vi rientrano tutti i programmi e le applicazioni, (disponibili in formato elettronico,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disponibili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cloud</w:t>
      </w:r>
      <w:proofErr w:type="spell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scaricabili online o incorporati in supporti quali memorie esterne, CD, DVD, Blue </w:t>
      </w:r>
      <w:proofErr w:type="spell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Ray</w:t>
      </w:r>
      <w:proofErr w:type="spell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destinati alle specifiche esigenze formative di un docente, come ad esempio programmi che permettono di consultare enciclopedie, vocabolari, repertori culturali o di progettare modelli matematici o di realizzare disegni tecnici, di videoscrittura, di editing e di calcolo (strumenti di office </w:t>
      </w:r>
      <w:proofErr w:type="spell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automation</w:t>
      </w:r>
      <w:proofErr w:type="spell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). Questi programmi sono quindi compresi nella Carta del Docente.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Rientra nella Carta del Docente anche un abbonamento per la linea di trasmissione dati ADSL? 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No,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l'ADSL è una tecnologia di trasmissione dati utilizzata per l'accesso alla rete Internet. Non è quindi un software destinato alle specifiche esigenze formative di un docente. Non vi rientrano neppure il pagamento del canone RAI o la </w:t>
      </w:r>
      <w:proofErr w:type="spell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Pay</w:t>
      </w:r>
      <w:proofErr w:type="spell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tv.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Carta del Docente può essere usata per "l'iscrizione a corsi per attività di aggiornamento e di qualificazione delle competenze professionali, svolti da enti accreditati/qualificati presso il Ministero dell'istruzione, dell'università e della ricerca, a corsi di laurea, di laurea magistrale, specialistica o a ciclo unico, inerenti al profilo professionale, </w:t>
      </w:r>
      <w:proofErr w:type="gram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ovvero</w:t>
      </w:r>
      <w:proofErr w:type="gram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 corsi post </w:t>
      </w:r>
      <w:proofErr w:type="spell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lauream</w:t>
      </w:r>
      <w:proofErr w:type="spell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 a master universitari inerenti al profilo professionale". Dove posso trovare l'elenco degli enti accreditati/qualificati per la formazione personale docente aggiornato?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L'elenco degli enti accreditati/qualificati per la formazione del personale docente è consultabile sul sito internet del MIUR al seguente link: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6" w:history="1">
        <w:r w:rsidRPr="00870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http://archivio.pubblica.istruzione.it/dg_pers_scolastico/enti_accreditati.shtml</w:t>
        </w:r>
      </w:hyperlink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E' inoltre possibile utilizzare la Carta del Docente anche per l'acquisto di corsi riconosciuti ai sensi della Direttiva 90/2003.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 la Carta del Docente si può seguire un corso on line?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purché svolto dagli enti accreditati o qualificati </w:t>
      </w:r>
      <w:proofErr w:type="spell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Miur</w:t>
      </w:r>
      <w:proofErr w:type="spell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degli articoli 2 e 3 della direttiva 90/2003, e dai soggetti di cui all'articolo 1 commi 2 e 3 della medesima Direttiva.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Posso utilizzare il bonus o parte di esso per seguire un corso di laurea o un master universitario, o corsi </w:t>
      </w:r>
      <w:proofErr w:type="gram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universitari</w:t>
      </w:r>
      <w:proofErr w:type="gram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destinati alla formazione dei docenti?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Sì. Posso seguire ogni tipologia di corso organizzato da Università o da Consorzi universitari e interuniversitari (corsi di laurea, di laurea magistrale, specialistica o a ciclo unico, corsi post </w:t>
      </w:r>
      <w:proofErr w:type="spell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lauream</w:t>
      </w:r>
      <w:proofErr w:type="spell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master), come anche un corso destinato specificamente alla formazione degli insegnanti, purché inerente al mio profilo professionale,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Direttiva del </w:t>
      </w:r>
      <w:proofErr w:type="spell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Miur</w:t>
      </w:r>
      <w:proofErr w:type="spell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90/2003 considera le Università, i Consorzi universitari e interuniversitari e gli Istituti pubblici di ricerca "Soggetti di per sé qualificati per la formazione del personale della scuola" (art. 1, comma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Posso usare il bonus o parte di esso per un corso per lo studio di una lingua straniera all'estero?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Sì, purché il corso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venga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erogato da uno dei soggetti di per sé qualificati per la formazione nella scuola, ovvero dagli "Enti culturali rappresentanti i Paesi membri dell'Unione Europea, le cui lingue siano incluse nei curricoli scolastici italiani", ai sensi della Direttiva del </w:t>
      </w:r>
      <w:proofErr w:type="spell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Miur</w:t>
      </w:r>
      <w:proofErr w:type="spell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90/2003, art. 1, comma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 la Carta del Docente posso sostenere l'esame di certificazione di una lingua straniera?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Sì, purché l'esame sia promosso da uno degli Enti certificatori delle competenze in lingua straniera del personale scolastico, che è possibile consultare al seguente link: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7" w:history="1">
        <w:r w:rsidRPr="00870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http://hubmiur.pubblica.istruzione.it/web/istruzione/dg-personale-scolastico/enti-certificatori-lingue-straniere</w:t>
        </w:r>
      </w:hyperlink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Carta del Docente può essere usata per assistere a "rappresentazioni teatrali e cinematografiche, per l'ingresso a musei, mostre ed eventi culturali e spettacoli dal vivo". Queste manifestazioni culturali sono generiche o devono essere attinenti alla materia insegnata? </w:t>
      </w:r>
      <w:proofErr w:type="gram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(ad</w:t>
      </w:r>
      <w:proofErr w:type="gram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esempio: un docente di italiano può utilizzare il bonus per visitare un museo scientifico?)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rappresentazioni cinematografiche, l'ingresso a musei, mostre ed eventi culturali e spettacoli dal vivo non devono essere necessariamente attinenti alla disciplina insegnata,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formazione professionale del docente riguarda competenze disciplinari e trasversali, scelte educative e metodologie laboratoriali, non riconducibili a una sola e specifica professionalità.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Si può utilizzare il bonus o parte di esso per l'acquisto di titoli </w:t>
      </w:r>
      <w:proofErr w:type="gram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gram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viaggio per la partecipazione a eventi o per viaggi culturali?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No, potranno essere rimborsati solo i biglietti per le "rappresentazioni teatrali e cinematografiche" e quelli per "l'ingresso a musei, mostre ed eventi culturali e spettacoli dal vivo".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Con la Carta del Docente posso seguire un corso di formazione organizzato dalla mia o da altre scuole? 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Sì, purché coerente "con le attività individuate nell'ambito del piano triennale dell'offerta formativa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delle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scuole e del Piano nazionale di formazione" (legge 107/2015, art. 1, comma 121),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"Le istituzioni scolastiche singole o in rete e/o in consorzio possono […] proporsi come Soggetti che offrono formazione sulla base di specifiche competenze e di adeguate Infrastrutture" (Direttiva del </w:t>
      </w:r>
      <w:proofErr w:type="spell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Miur</w:t>
      </w:r>
      <w:proofErr w:type="spell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90/2003, art. 1, comma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Posso contribuire con una parte o con l'intero bonus della mia Carta del Docente all'acquisto </w:t>
      </w:r>
      <w:proofErr w:type="gram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gram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strumentazioni elettroniche digitali che migliorino la sperimentazione didattica multimediale della mia scuola, come per esempio una LIM, o la sperimentazione didattica in generale, come ad esempio libri, riviste o materiale didattico per la biblioteca scolastica?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Sì. Anche l'impiego diretto del bonus o di parte di esso per la sperimentazione didattica rientra nell'organizzazione delle "attività individuate nell'ambito del piano triennale dell'offerta formativa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delle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scuole e del Piano nazionale di formazione".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Posso contribuire con una parte o con l'intero bonus della mia Carta del Docente a realizzare un corso insieme </w:t>
      </w:r>
      <w:proofErr w:type="gram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ad</w:t>
      </w:r>
      <w:proofErr w:type="gram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altri docenti esterno al piano di formazione della mia scuola?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Sì. Anche in questo caso si ricorda che va valorizzata la formazione professionale del docente, non solo in rapporto al piano dell'offerta formativa della singola scuola, ma anche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riferimento a competenze disciplinari e trasversali, scelte educative e metodologie laboratoriali, non riconducibili a una sola e specifica professionalità, che saranno descritte e individuate nel prossimo piano nazionale per la formazione. 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Un insegnante di laboratorio </w:t>
      </w:r>
      <w:proofErr w:type="gram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 </w:t>
      </w:r>
      <w:proofErr w:type="gram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informatica che voglia utilizzare una stampante 3D per migliorare il suo insegnamento, può utilizzare il bonus della carta del docente?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quanto il dispositivo consente di sperimentare modelli didattici innovativi, in linea con le finalità della formazione e dell'aggiornamento professionali. 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 insegnante di musica può utilizzare il bonus o parte di esso per l'acquisto di uno strumento musicale?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purchè</w:t>
      </w:r>
      <w:proofErr w:type="spell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 strumento musicale sia strettamente correlato alle iniziative individuate nell'ambito del piano triennale dell'offerta formativa e del piano nazionale di formazione di cui all'art.1 comma 121 della Legge n.107/2015. In questo caso infatti l'acquisto dello strumento è finalizzato a migliorare le competenze specifiche del docente in relazione all'indirizzo della scuola e rientra pertanto nelle finalità formative previste dalla norma. 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Il bonus di 500 euro può essere utilizzato da un docente di scienze motorie per pagare la quota associativa ad associazioni sportive per corsi inerenti attività </w:t>
      </w:r>
      <w:proofErr w:type="gram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sportive</w:t>
      </w:r>
      <w:proofErr w:type="gram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federali?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Non è possibile utilizzare il bonus per la quota associativa ma </w:t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possibile per i corsi inerenti attività sportive federali che sono finalizzati alla formazione e all'aggiornamento delle professionalità del docente. </w:t>
      </w:r>
    </w:p>
    <w:p w:rsidR="008706C0" w:rsidRPr="008706C0" w:rsidRDefault="008706C0" w:rsidP="008706C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E' possibile utilizzare il bonus per acquistare </w:t>
      </w:r>
      <w:proofErr w:type="gramStart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 componenti hardware necessarie</w:t>
      </w:r>
      <w:proofErr w:type="gramEnd"/>
      <w:r w:rsidRPr="008706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ad assemblare un PC completo? </w:t>
      </w:r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gramStart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proofErr w:type="gramEnd"/>
      <w:r w:rsidRPr="008706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è possibile. </w:t>
      </w:r>
    </w:p>
    <w:p w:rsidR="00F5467B" w:rsidRDefault="008706C0" w:rsidP="008706C0">
      <w:pPr>
        <w:spacing w:before="100" w:beforeAutospacing="1" w:after="100" w:afterAutospacing="1" w:line="240" w:lineRule="auto"/>
      </w:pPr>
      <w:hyperlink r:id="rId8" w:history="1">
        <w:r w:rsidRPr="008706C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http://www.istruzione.it/allegati/2015/faq_carta_del_docente.pdf</w:t>
        </w:r>
      </w:hyperlink>
      <w:bookmarkStart w:id="0" w:name="_GoBack"/>
      <w:bookmarkEnd w:id="0"/>
    </w:p>
    <w:sectPr w:rsidR="00F54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1860"/>
    <w:multiLevelType w:val="multilevel"/>
    <w:tmpl w:val="C1B4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C0"/>
    <w:rsid w:val="00001BAA"/>
    <w:rsid w:val="00003524"/>
    <w:rsid w:val="000260EB"/>
    <w:rsid w:val="00031BFE"/>
    <w:rsid w:val="000443DD"/>
    <w:rsid w:val="00054628"/>
    <w:rsid w:val="00054D8F"/>
    <w:rsid w:val="00076E0C"/>
    <w:rsid w:val="0008100C"/>
    <w:rsid w:val="00087900"/>
    <w:rsid w:val="000902B4"/>
    <w:rsid w:val="00093F98"/>
    <w:rsid w:val="000A3A3A"/>
    <w:rsid w:val="000A4A0A"/>
    <w:rsid w:val="000B25E0"/>
    <w:rsid w:val="000C03CB"/>
    <w:rsid w:val="000C29F0"/>
    <w:rsid w:val="000C3A84"/>
    <w:rsid w:val="000C788B"/>
    <w:rsid w:val="000D526A"/>
    <w:rsid w:val="000D6B0B"/>
    <w:rsid w:val="000E0011"/>
    <w:rsid w:val="000E1CEE"/>
    <w:rsid w:val="000F2970"/>
    <w:rsid w:val="000F4DBC"/>
    <w:rsid w:val="00106B1B"/>
    <w:rsid w:val="001076AB"/>
    <w:rsid w:val="001147DE"/>
    <w:rsid w:val="00114BDF"/>
    <w:rsid w:val="001153DA"/>
    <w:rsid w:val="001173DB"/>
    <w:rsid w:val="00123D7A"/>
    <w:rsid w:val="00127F29"/>
    <w:rsid w:val="00146486"/>
    <w:rsid w:val="001543E7"/>
    <w:rsid w:val="00154C89"/>
    <w:rsid w:val="00166D03"/>
    <w:rsid w:val="00166EBC"/>
    <w:rsid w:val="001708C6"/>
    <w:rsid w:val="00176ECF"/>
    <w:rsid w:val="00185F02"/>
    <w:rsid w:val="00186EE1"/>
    <w:rsid w:val="00191601"/>
    <w:rsid w:val="0019357B"/>
    <w:rsid w:val="00195BEA"/>
    <w:rsid w:val="00196A95"/>
    <w:rsid w:val="001A1BE8"/>
    <w:rsid w:val="001A6C88"/>
    <w:rsid w:val="001B1EFC"/>
    <w:rsid w:val="001B2F52"/>
    <w:rsid w:val="001C02AC"/>
    <w:rsid w:val="001C2077"/>
    <w:rsid w:val="001C4641"/>
    <w:rsid w:val="001E2B8A"/>
    <w:rsid w:val="001F1DDB"/>
    <w:rsid w:val="001F4D58"/>
    <w:rsid w:val="001F6D3B"/>
    <w:rsid w:val="001F6E66"/>
    <w:rsid w:val="001F7072"/>
    <w:rsid w:val="001F77CA"/>
    <w:rsid w:val="001F7992"/>
    <w:rsid w:val="00203356"/>
    <w:rsid w:val="00204576"/>
    <w:rsid w:val="00220F2D"/>
    <w:rsid w:val="00220F79"/>
    <w:rsid w:val="00223EBB"/>
    <w:rsid w:val="0022460F"/>
    <w:rsid w:val="00226936"/>
    <w:rsid w:val="00231A93"/>
    <w:rsid w:val="00234240"/>
    <w:rsid w:val="00250F45"/>
    <w:rsid w:val="00266841"/>
    <w:rsid w:val="00266BC4"/>
    <w:rsid w:val="0027208C"/>
    <w:rsid w:val="00281C5A"/>
    <w:rsid w:val="00281DE9"/>
    <w:rsid w:val="00283CAC"/>
    <w:rsid w:val="00284E98"/>
    <w:rsid w:val="00285958"/>
    <w:rsid w:val="00286AF8"/>
    <w:rsid w:val="0029354B"/>
    <w:rsid w:val="002972EC"/>
    <w:rsid w:val="00297CC5"/>
    <w:rsid w:val="002A2662"/>
    <w:rsid w:val="002A5842"/>
    <w:rsid w:val="002A628E"/>
    <w:rsid w:val="002A6A99"/>
    <w:rsid w:val="002A6D7F"/>
    <w:rsid w:val="002B015A"/>
    <w:rsid w:val="002B159C"/>
    <w:rsid w:val="002B1F7E"/>
    <w:rsid w:val="002C3778"/>
    <w:rsid w:val="002C4081"/>
    <w:rsid w:val="002E3096"/>
    <w:rsid w:val="002E3C1B"/>
    <w:rsid w:val="002E6B5B"/>
    <w:rsid w:val="002F5B18"/>
    <w:rsid w:val="002F5CF3"/>
    <w:rsid w:val="0031142D"/>
    <w:rsid w:val="003203C0"/>
    <w:rsid w:val="003379BB"/>
    <w:rsid w:val="00343B2B"/>
    <w:rsid w:val="00345072"/>
    <w:rsid w:val="00350426"/>
    <w:rsid w:val="00356B06"/>
    <w:rsid w:val="00360FF7"/>
    <w:rsid w:val="00365AC0"/>
    <w:rsid w:val="00384818"/>
    <w:rsid w:val="00391E2D"/>
    <w:rsid w:val="00393DF5"/>
    <w:rsid w:val="003940AE"/>
    <w:rsid w:val="003A5C4D"/>
    <w:rsid w:val="003B7E5B"/>
    <w:rsid w:val="003C7A58"/>
    <w:rsid w:val="003D18D2"/>
    <w:rsid w:val="003D46EB"/>
    <w:rsid w:val="003D652E"/>
    <w:rsid w:val="003D67B0"/>
    <w:rsid w:val="003E01AB"/>
    <w:rsid w:val="003E085B"/>
    <w:rsid w:val="003E46D3"/>
    <w:rsid w:val="003E565D"/>
    <w:rsid w:val="003E6C76"/>
    <w:rsid w:val="003F5589"/>
    <w:rsid w:val="004043DB"/>
    <w:rsid w:val="00410664"/>
    <w:rsid w:val="004177F9"/>
    <w:rsid w:val="00420D3E"/>
    <w:rsid w:val="00433EE0"/>
    <w:rsid w:val="00434A8C"/>
    <w:rsid w:val="00435A33"/>
    <w:rsid w:val="00440CDB"/>
    <w:rsid w:val="00447863"/>
    <w:rsid w:val="00450B9C"/>
    <w:rsid w:val="004517DB"/>
    <w:rsid w:val="0045373D"/>
    <w:rsid w:val="00454AF4"/>
    <w:rsid w:val="00462F89"/>
    <w:rsid w:val="00463DFF"/>
    <w:rsid w:val="004644FA"/>
    <w:rsid w:val="004648F0"/>
    <w:rsid w:val="00470E82"/>
    <w:rsid w:val="00486A2E"/>
    <w:rsid w:val="00487D04"/>
    <w:rsid w:val="00495085"/>
    <w:rsid w:val="004971F3"/>
    <w:rsid w:val="004A466D"/>
    <w:rsid w:val="004A7058"/>
    <w:rsid w:val="004B30B8"/>
    <w:rsid w:val="004B35DD"/>
    <w:rsid w:val="004B53DC"/>
    <w:rsid w:val="004D5D14"/>
    <w:rsid w:val="004D5DD4"/>
    <w:rsid w:val="004F0FAD"/>
    <w:rsid w:val="004F24E4"/>
    <w:rsid w:val="004F70F3"/>
    <w:rsid w:val="00502B0F"/>
    <w:rsid w:val="005076CB"/>
    <w:rsid w:val="00510F65"/>
    <w:rsid w:val="00522CB0"/>
    <w:rsid w:val="00530238"/>
    <w:rsid w:val="00537860"/>
    <w:rsid w:val="00545ABE"/>
    <w:rsid w:val="00547408"/>
    <w:rsid w:val="00550C02"/>
    <w:rsid w:val="00557F5A"/>
    <w:rsid w:val="0056011F"/>
    <w:rsid w:val="00561985"/>
    <w:rsid w:val="005624E4"/>
    <w:rsid w:val="00563648"/>
    <w:rsid w:val="00583752"/>
    <w:rsid w:val="00585793"/>
    <w:rsid w:val="005872F5"/>
    <w:rsid w:val="00592AF2"/>
    <w:rsid w:val="005938FF"/>
    <w:rsid w:val="005A2563"/>
    <w:rsid w:val="005A3BD9"/>
    <w:rsid w:val="005A3D15"/>
    <w:rsid w:val="005B4A0D"/>
    <w:rsid w:val="005B4AD6"/>
    <w:rsid w:val="005B4B53"/>
    <w:rsid w:val="005B5279"/>
    <w:rsid w:val="005B5DD0"/>
    <w:rsid w:val="005C0291"/>
    <w:rsid w:val="005C1D00"/>
    <w:rsid w:val="005C2CE0"/>
    <w:rsid w:val="005C3DBF"/>
    <w:rsid w:val="005C51E8"/>
    <w:rsid w:val="005C6E89"/>
    <w:rsid w:val="005D497B"/>
    <w:rsid w:val="005E2314"/>
    <w:rsid w:val="005E628E"/>
    <w:rsid w:val="005F4F48"/>
    <w:rsid w:val="006030FD"/>
    <w:rsid w:val="00605E68"/>
    <w:rsid w:val="00610825"/>
    <w:rsid w:val="006166B9"/>
    <w:rsid w:val="00620349"/>
    <w:rsid w:val="006231D3"/>
    <w:rsid w:val="006403D5"/>
    <w:rsid w:val="0064422C"/>
    <w:rsid w:val="00652D89"/>
    <w:rsid w:val="00664C0E"/>
    <w:rsid w:val="00672120"/>
    <w:rsid w:val="00673A29"/>
    <w:rsid w:val="00674388"/>
    <w:rsid w:val="006802DD"/>
    <w:rsid w:val="00681252"/>
    <w:rsid w:val="0069518D"/>
    <w:rsid w:val="006A3CC4"/>
    <w:rsid w:val="006A4180"/>
    <w:rsid w:val="006A479C"/>
    <w:rsid w:val="006A67B0"/>
    <w:rsid w:val="006A734B"/>
    <w:rsid w:val="006B1A90"/>
    <w:rsid w:val="006B5CF9"/>
    <w:rsid w:val="006D0402"/>
    <w:rsid w:val="006D1E57"/>
    <w:rsid w:val="006E11AC"/>
    <w:rsid w:val="006F6DFA"/>
    <w:rsid w:val="00703CAE"/>
    <w:rsid w:val="007106C8"/>
    <w:rsid w:val="007245C3"/>
    <w:rsid w:val="00730675"/>
    <w:rsid w:val="0073330A"/>
    <w:rsid w:val="00733D88"/>
    <w:rsid w:val="00737C40"/>
    <w:rsid w:val="007408CC"/>
    <w:rsid w:val="0074131F"/>
    <w:rsid w:val="007426B2"/>
    <w:rsid w:val="00743606"/>
    <w:rsid w:val="00743839"/>
    <w:rsid w:val="0075348B"/>
    <w:rsid w:val="007570BA"/>
    <w:rsid w:val="00761301"/>
    <w:rsid w:val="00762895"/>
    <w:rsid w:val="00784425"/>
    <w:rsid w:val="00794CAE"/>
    <w:rsid w:val="007957F9"/>
    <w:rsid w:val="00796125"/>
    <w:rsid w:val="007A01D1"/>
    <w:rsid w:val="007A4492"/>
    <w:rsid w:val="007A60ED"/>
    <w:rsid w:val="007B71BF"/>
    <w:rsid w:val="007C2072"/>
    <w:rsid w:val="007C2FA6"/>
    <w:rsid w:val="007C6655"/>
    <w:rsid w:val="007D4008"/>
    <w:rsid w:val="007D453B"/>
    <w:rsid w:val="007F381B"/>
    <w:rsid w:val="007F6F02"/>
    <w:rsid w:val="007F7216"/>
    <w:rsid w:val="008015DC"/>
    <w:rsid w:val="00803C4B"/>
    <w:rsid w:val="00813E2C"/>
    <w:rsid w:val="008248E5"/>
    <w:rsid w:val="00825D1A"/>
    <w:rsid w:val="0083080D"/>
    <w:rsid w:val="00840C50"/>
    <w:rsid w:val="00842E05"/>
    <w:rsid w:val="00844555"/>
    <w:rsid w:val="00844E36"/>
    <w:rsid w:val="00861467"/>
    <w:rsid w:val="008618F9"/>
    <w:rsid w:val="0086387E"/>
    <w:rsid w:val="008706C0"/>
    <w:rsid w:val="008720EA"/>
    <w:rsid w:val="00883BB5"/>
    <w:rsid w:val="00886434"/>
    <w:rsid w:val="00890281"/>
    <w:rsid w:val="00890760"/>
    <w:rsid w:val="0089579D"/>
    <w:rsid w:val="008A0772"/>
    <w:rsid w:val="008A6515"/>
    <w:rsid w:val="008B2239"/>
    <w:rsid w:val="008C3B15"/>
    <w:rsid w:val="008D60B5"/>
    <w:rsid w:val="008E4444"/>
    <w:rsid w:val="008F50CC"/>
    <w:rsid w:val="00900250"/>
    <w:rsid w:val="00906CE4"/>
    <w:rsid w:val="00907972"/>
    <w:rsid w:val="00910832"/>
    <w:rsid w:val="009132AD"/>
    <w:rsid w:val="0091417F"/>
    <w:rsid w:val="00916B0C"/>
    <w:rsid w:val="009170D2"/>
    <w:rsid w:val="009213EE"/>
    <w:rsid w:val="0092313E"/>
    <w:rsid w:val="009264B8"/>
    <w:rsid w:val="009335A6"/>
    <w:rsid w:val="009344A7"/>
    <w:rsid w:val="00936F8C"/>
    <w:rsid w:val="00941ABC"/>
    <w:rsid w:val="00942D63"/>
    <w:rsid w:val="00942E3A"/>
    <w:rsid w:val="0094369F"/>
    <w:rsid w:val="00955AA7"/>
    <w:rsid w:val="009719EA"/>
    <w:rsid w:val="00974EC3"/>
    <w:rsid w:val="009865D8"/>
    <w:rsid w:val="00992E44"/>
    <w:rsid w:val="0099307F"/>
    <w:rsid w:val="00994488"/>
    <w:rsid w:val="009A3200"/>
    <w:rsid w:val="009B0DC0"/>
    <w:rsid w:val="009B40C5"/>
    <w:rsid w:val="009B5832"/>
    <w:rsid w:val="009B6EDE"/>
    <w:rsid w:val="009B7E50"/>
    <w:rsid w:val="009C40B2"/>
    <w:rsid w:val="009D25FE"/>
    <w:rsid w:val="009D3635"/>
    <w:rsid w:val="009D4C48"/>
    <w:rsid w:val="009D6F03"/>
    <w:rsid w:val="009D7068"/>
    <w:rsid w:val="009E07A9"/>
    <w:rsid w:val="009E1A2A"/>
    <w:rsid w:val="009E7F38"/>
    <w:rsid w:val="009F1363"/>
    <w:rsid w:val="009F1EA3"/>
    <w:rsid w:val="00A00D2D"/>
    <w:rsid w:val="00A1332B"/>
    <w:rsid w:val="00A140D5"/>
    <w:rsid w:val="00A26887"/>
    <w:rsid w:val="00A27B7F"/>
    <w:rsid w:val="00A30583"/>
    <w:rsid w:val="00A503BC"/>
    <w:rsid w:val="00A60255"/>
    <w:rsid w:val="00A63128"/>
    <w:rsid w:val="00A67016"/>
    <w:rsid w:val="00A724DD"/>
    <w:rsid w:val="00A820F1"/>
    <w:rsid w:val="00A852BC"/>
    <w:rsid w:val="00A86693"/>
    <w:rsid w:val="00A876CE"/>
    <w:rsid w:val="00A907FF"/>
    <w:rsid w:val="00A9189D"/>
    <w:rsid w:val="00A925A6"/>
    <w:rsid w:val="00AA4FA6"/>
    <w:rsid w:val="00AA7802"/>
    <w:rsid w:val="00AB5DC3"/>
    <w:rsid w:val="00AC33F9"/>
    <w:rsid w:val="00AC4ADF"/>
    <w:rsid w:val="00AC5CA7"/>
    <w:rsid w:val="00AC67D4"/>
    <w:rsid w:val="00AD15D0"/>
    <w:rsid w:val="00AF483D"/>
    <w:rsid w:val="00B03B85"/>
    <w:rsid w:val="00B03E3C"/>
    <w:rsid w:val="00B10912"/>
    <w:rsid w:val="00B1515F"/>
    <w:rsid w:val="00B17399"/>
    <w:rsid w:val="00B243F7"/>
    <w:rsid w:val="00B25EA3"/>
    <w:rsid w:val="00B271CD"/>
    <w:rsid w:val="00B32623"/>
    <w:rsid w:val="00B33533"/>
    <w:rsid w:val="00B35E7A"/>
    <w:rsid w:val="00B36837"/>
    <w:rsid w:val="00B37016"/>
    <w:rsid w:val="00B40F32"/>
    <w:rsid w:val="00B4518C"/>
    <w:rsid w:val="00B46505"/>
    <w:rsid w:val="00B53198"/>
    <w:rsid w:val="00B55921"/>
    <w:rsid w:val="00B613FD"/>
    <w:rsid w:val="00B637F2"/>
    <w:rsid w:val="00B67583"/>
    <w:rsid w:val="00B67DC8"/>
    <w:rsid w:val="00B74708"/>
    <w:rsid w:val="00B80AB9"/>
    <w:rsid w:val="00B86497"/>
    <w:rsid w:val="00B94EA1"/>
    <w:rsid w:val="00BA75C9"/>
    <w:rsid w:val="00BB5C5D"/>
    <w:rsid w:val="00BB6D6B"/>
    <w:rsid w:val="00BC30C5"/>
    <w:rsid w:val="00BD4E01"/>
    <w:rsid w:val="00BD777F"/>
    <w:rsid w:val="00BE18B3"/>
    <w:rsid w:val="00BE676B"/>
    <w:rsid w:val="00BE75FA"/>
    <w:rsid w:val="00C04CDE"/>
    <w:rsid w:val="00C12632"/>
    <w:rsid w:val="00C24E21"/>
    <w:rsid w:val="00C2762A"/>
    <w:rsid w:val="00C31219"/>
    <w:rsid w:val="00C3287A"/>
    <w:rsid w:val="00C41250"/>
    <w:rsid w:val="00C42653"/>
    <w:rsid w:val="00C42C88"/>
    <w:rsid w:val="00C43F64"/>
    <w:rsid w:val="00C61FC4"/>
    <w:rsid w:val="00C671F4"/>
    <w:rsid w:val="00C71A57"/>
    <w:rsid w:val="00C7739B"/>
    <w:rsid w:val="00C81452"/>
    <w:rsid w:val="00C82CE4"/>
    <w:rsid w:val="00C93E8A"/>
    <w:rsid w:val="00C96A35"/>
    <w:rsid w:val="00C972CA"/>
    <w:rsid w:val="00CA53E3"/>
    <w:rsid w:val="00CA60A1"/>
    <w:rsid w:val="00CA6BC8"/>
    <w:rsid w:val="00CB0273"/>
    <w:rsid w:val="00CB2C63"/>
    <w:rsid w:val="00CB5EA5"/>
    <w:rsid w:val="00CC3D3C"/>
    <w:rsid w:val="00CD0CAB"/>
    <w:rsid w:val="00CD171B"/>
    <w:rsid w:val="00CE2A9A"/>
    <w:rsid w:val="00CE39A9"/>
    <w:rsid w:val="00CF00EA"/>
    <w:rsid w:val="00CF4C50"/>
    <w:rsid w:val="00D00A05"/>
    <w:rsid w:val="00D056CC"/>
    <w:rsid w:val="00D075BE"/>
    <w:rsid w:val="00D14D1F"/>
    <w:rsid w:val="00D153EC"/>
    <w:rsid w:val="00D210B1"/>
    <w:rsid w:val="00D238D8"/>
    <w:rsid w:val="00D3586D"/>
    <w:rsid w:val="00D378DA"/>
    <w:rsid w:val="00D43124"/>
    <w:rsid w:val="00D45F6B"/>
    <w:rsid w:val="00D55C53"/>
    <w:rsid w:val="00D64574"/>
    <w:rsid w:val="00D66039"/>
    <w:rsid w:val="00D67110"/>
    <w:rsid w:val="00D70E0B"/>
    <w:rsid w:val="00D7679E"/>
    <w:rsid w:val="00D7787B"/>
    <w:rsid w:val="00D83DFA"/>
    <w:rsid w:val="00D84645"/>
    <w:rsid w:val="00DA7C98"/>
    <w:rsid w:val="00DC06E6"/>
    <w:rsid w:val="00DC5757"/>
    <w:rsid w:val="00DE3690"/>
    <w:rsid w:val="00DE3979"/>
    <w:rsid w:val="00DE5CD2"/>
    <w:rsid w:val="00DE611C"/>
    <w:rsid w:val="00DF0AAA"/>
    <w:rsid w:val="00DF3D7B"/>
    <w:rsid w:val="00E00367"/>
    <w:rsid w:val="00E050DD"/>
    <w:rsid w:val="00E10164"/>
    <w:rsid w:val="00E14026"/>
    <w:rsid w:val="00E150CE"/>
    <w:rsid w:val="00E156C4"/>
    <w:rsid w:val="00E170EA"/>
    <w:rsid w:val="00E267E0"/>
    <w:rsid w:val="00E27A9F"/>
    <w:rsid w:val="00E30D99"/>
    <w:rsid w:val="00E3414F"/>
    <w:rsid w:val="00E3673F"/>
    <w:rsid w:val="00E36B42"/>
    <w:rsid w:val="00E4029D"/>
    <w:rsid w:val="00E40815"/>
    <w:rsid w:val="00E46F9C"/>
    <w:rsid w:val="00E50CC0"/>
    <w:rsid w:val="00E51B5A"/>
    <w:rsid w:val="00E5506C"/>
    <w:rsid w:val="00E5533C"/>
    <w:rsid w:val="00E60FB2"/>
    <w:rsid w:val="00E6166B"/>
    <w:rsid w:val="00E634D9"/>
    <w:rsid w:val="00E645ED"/>
    <w:rsid w:val="00E65972"/>
    <w:rsid w:val="00E66543"/>
    <w:rsid w:val="00E709F0"/>
    <w:rsid w:val="00E72A43"/>
    <w:rsid w:val="00E73A3B"/>
    <w:rsid w:val="00E812E8"/>
    <w:rsid w:val="00E86BF0"/>
    <w:rsid w:val="00E91491"/>
    <w:rsid w:val="00E92B6D"/>
    <w:rsid w:val="00E938DC"/>
    <w:rsid w:val="00E95E38"/>
    <w:rsid w:val="00E96393"/>
    <w:rsid w:val="00EA3DDD"/>
    <w:rsid w:val="00EA3F09"/>
    <w:rsid w:val="00EB362A"/>
    <w:rsid w:val="00ED6546"/>
    <w:rsid w:val="00ED7064"/>
    <w:rsid w:val="00EE204B"/>
    <w:rsid w:val="00EE5219"/>
    <w:rsid w:val="00EE5E74"/>
    <w:rsid w:val="00F04F2B"/>
    <w:rsid w:val="00F07D25"/>
    <w:rsid w:val="00F10C1E"/>
    <w:rsid w:val="00F12DA0"/>
    <w:rsid w:val="00F158B5"/>
    <w:rsid w:val="00F16757"/>
    <w:rsid w:val="00F20308"/>
    <w:rsid w:val="00F20E9F"/>
    <w:rsid w:val="00F24F8F"/>
    <w:rsid w:val="00F30DBF"/>
    <w:rsid w:val="00F3466F"/>
    <w:rsid w:val="00F42FA9"/>
    <w:rsid w:val="00F50419"/>
    <w:rsid w:val="00F5467B"/>
    <w:rsid w:val="00F601E6"/>
    <w:rsid w:val="00F63449"/>
    <w:rsid w:val="00F83FE3"/>
    <w:rsid w:val="00F8673D"/>
    <w:rsid w:val="00F906CC"/>
    <w:rsid w:val="00F90C19"/>
    <w:rsid w:val="00F91CF3"/>
    <w:rsid w:val="00F91FD8"/>
    <w:rsid w:val="00FA5963"/>
    <w:rsid w:val="00FA7BEF"/>
    <w:rsid w:val="00FB2849"/>
    <w:rsid w:val="00FB732B"/>
    <w:rsid w:val="00FD0DFD"/>
    <w:rsid w:val="00FD2502"/>
    <w:rsid w:val="00FD420D"/>
    <w:rsid w:val="00FD642D"/>
    <w:rsid w:val="00FD64F2"/>
    <w:rsid w:val="00FD79EC"/>
    <w:rsid w:val="00FE0717"/>
    <w:rsid w:val="00FE3475"/>
    <w:rsid w:val="00FE648F"/>
    <w:rsid w:val="00FE6AB4"/>
    <w:rsid w:val="00FF033F"/>
    <w:rsid w:val="00FF0D1D"/>
    <w:rsid w:val="00FF2A2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7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1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7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allegati/2015/faq_carta_del_docent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ubmiur.pubblica.istruzione.it/web/istruzione/dg-personale-scolastico/enti-certificatori-lingue-stranie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io.pubblica.istruzione.it/dg_pers_scolastico/enti_accreditati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leggiog</dc:creator>
  <cp:lastModifiedBy>leggiog</cp:lastModifiedBy>
  <cp:revision>1</cp:revision>
  <dcterms:created xsi:type="dcterms:W3CDTF">2016-04-29T06:50:00Z</dcterms:created>
  <dcterms:modified xsi:type="dcterms:W3CDTF">2016-04-29T06:51:00Z</dcterms:modified>
</cp:coreProperties>
</file>